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A08E" w14:textId="729E2F23" w:rsidR="002E76E3" w:rsidRDefault="0038153C" w:rsidP="00A66F30">
      <w:pPr>
        <w:widowControl w:val="0"/>
        <w:suppressAutoHyphens/>
        <w:ind w:left="-57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Osteopathische</w:t>
      </w:r>
      <w:proofErr w:type="spellEnd"/>
      <w:r>
        <w:rPr>
          <w:rFonts w:ascii="Calibri" w:hAnsi="Calibri"/>
          <w:b/>
        </w:rPr>
        <w:t xml:space="preserve"> Behandlung von</w:t>
      </w:r>
      <w:r w:rsidR="00A66F30">
        <w:rPr>
          <w:rFonts w:ascii="Calibri" w:hAnsi="Calibri"/>
          <w:b/>
        </w:rPr>
        <w:t xml:space="preserve"> Patienten mit altersbedingter </w:t>
      </w:r>
      <w:proofErr w:type="spellStart"/>
      <w:r w:rsidR="00A66F30">
        <w:rPr>
          <w:rFonts w:ascii="Calibri" w:hAnsi="Calibri"/>
          <w:b/>
        </w:rPr>
        <w:t>Makuladegenration</w:t>
      </w:r>
      <w:proofErr w:type="spellEnd"/>
      <w:r w:rsidR="00A66F30">
        <w:rPr>
          <w:rFonts w:ascii="Calibri" w:hAnsi="Calibri"/>
          <w:b/>
        </w:rPr>
        <w:t>. Prä-Post-</w:t>
      </w:r>
      <w:r>
        <w:rPr>
          <w:rFonts w:ascii="Calibri" w:hAnsi="Calibri"/>
          <w:b/>
        </w:rPr>
        <w:t>Studie</w:t>
      </w:r>
      <w:r w:rsidR="002E76E3" w:rsidRPr="00FA38FE">
        <w:rPr>
          <w:rFonts w:ascii="Calibri" w:hAnsi="Calibri"/>
          <w:b/>
        </w:rPr>
        <w:t xml:space="preserve">. </w:t>
      </w:r>
    </w:p>
    <w:p w14:paraId="469C2241" w14:textId="38A41B03" w:rsidR="002E76E3" w:rsidRPr="00F425C5" w:rsidRDefault="00A66F30" w:rsidP="002E76E3">
      <w:pPr>
        <w:widowControl w:val="0"/>
        <w:suppressAutoHyphens/>
        <w:ind w:left="-57"/>
        <w:rPr>
          <w:rFonts w:ascii="Calibri" w:hAnsi="Calibri"/>
          <w:b/>
        </w:rPr>
      </w:pPr>
      <w:r>
        <w:rPr>
          <w:rFonts w:asciiTheme="majorHAnsi" w:hAnsiTheme="majorHAnsi" w:cs="Arial"/>
          <w:i/>
          <w:color w:val="000090"/>
          <w:szCs w:val="28"/>
        </w:rPr>
        <w:t xml:space="preserve">Dana </w:t>
      </w:r>
      <w:proofErr w:type="spellStart"/>
      <w:r>
        <w:rPr>
          <w:rFonts w:asciiTheme="majorHAnsi" w:hAnsiTheme="majorHAnsi" w:cs="Arial"/>
          <w:i/>
          <w:color w:val="000090"/>
          <w:szCs w:val="28"/>
        </w:rPr>
        <w:t>Ihlow</w:t>
      </w:r>
      <w:proofErr w:type="spellEnd"/>
    </w:p>
    <w:p w14:paraId="6EDAFA11" w14:textId="77777777" w:rsidR="002E76E3" w:rsidRPr="00FA38FE" w:rsidRDefault="002E76E3" w:rsidP="002E76E3">
      <w:pPr>
        <w:widowControl w:val="0"/>
        <w:suppressAutoHyphens/>
        <w:ind w:left="-57"/>
        <w:rPr>
          <w:rFonts w:ascii="Calibri" w:hAnsi="Calibri" w:cs="Arial"/>
          <w:i/>
          <w:szCs w:val="28"/>
        </w:rPr>
      </w:pPr>
    </w:p>
    <w:p w14:paraId="61B851F0" w14:textId="60D87689" w:rsidR="00985B9A" w:rsidRPr="002921FA" w:rsidRDefault="002E76E3" w:rsidP="002E7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/>
          <w:bCs/>
          <w:color w:val="000000"/>
          <w:sz w:val="22"/>
          <w:szCs w:val="22"/>
        </w:rPr>
      </w:pPr>
      <w:r w:rsidRPr="002921FA">
        <w:rPr>
          <w:rFonts w:ascii="Calibri" w:eastAsia="Cambria" w:hAnsi="Calibri" w:cs="Arial"/>
          <w:b/>
          <w:bCs/>
          <w:color w:val="000000"/>
          <w:sz w:val="22"/>
          <w:szCs w:val="22"/>
        </w:rPr>
        <w:t xml:space="preserve">Studienziel: </w:t>
      </w:r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>Untersuchung der Frage, ob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eine</w:t>
      </w:r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</w:t>
      </w:r>
      <w:proofErr w:type="spellStart"/>
      <w:r w:rsidR="00046F73" w:rsidRPr="002921FA">
        <w:rPr>
          <w:rFonts w:ascii="Calibri" w:eastAsia="Cambria" w:hAnsi="Calibri" w:cs="Arial"/>
          <w:bCs/>
          <w:color w:val="000000"/>
          <w:sz w:val="22"/>
          <w:szCs w:val="22"/>
        </w:rPr>
        <w:t>ost</w:t>
      </w:r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>eopathische</w:t>
      </w:r>
      <w:proofErr w:type="spellEnd"/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Beh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andlungen von Patienten mit altersbedingter </w:t>
      </w:r>
      <w:proofErr w:type="spellStart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>Makuladegeneration</w:t>
      </w:r>
      <w:proofErr w:type="spellEnd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(AMD)</w:t>
      </w:r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zu einer Verbesserung 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des Zustandes der betroffenen Netzhautareale sowie der Sehschärfe und der krankheitsspezifischen Lebensqualität </w:t>
      </w:r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>führen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kann</w:t>
      </w:r>
      <w:r w:rsidR="007E669E" w:rsidRPr="002921FA">
        <w:rPr>
          <w:rFonts w:ascii="Calibri" w:eastAsia="Cambria" w:hAnsi="Calibri" w:cs="Arial"/>
          <w:bCs/>
          <w:color w:val="000000"/>
          <w:sz w:val="22"/>
          <w:szCs w:val="22"/>
        </w:rPr>
        <w:t>.</w:t>
      </w:r>
      <w:r w:rsidR="007E669E" w:rsidRPr="002921FA">
        <w:rPr>
          <w:rFonts w:ascii="Calibri" w:eastAsia="Cambria" w:hAnsi="Calibri" w:cs="Arial"/>
          <w:b/>
          <w:bCs/>
          <w:color w:val="000000"/>
          <w:sz w:val="22"/>
          <w:szCs w:val="22"/>
        </w:rPr>
        <w:t xml:space="preserve"> </w:t>
      </w:r>
    </w:p>
    <w:p w14:paraId="3983373E" w14:textId="77777777" w:rsidR="00A66F30" w:rsidRPr="002921FA" w:rsidRDefault="00A66F30" w:rsidP="002E7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/>
          <w:bCs/>
          <w:color w:val="000000"/>
          <w:sz w:val="22"/>
          <w:szCs w:val="22"/>
        </w:rPr>
      </w:pPr>
    </w:p>
    <w:p w14:paraId="7AFD7A0D" w14:textId="096EF16C" w:rsidR="002E76E3" w:rsidRPr="002921FA" w:rsidRDefault="002E76E3" w:rsidP="002E7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2"/>
          <w:szCs w:val="22"/>
        </w:rPr>
      </w:pPr>
      <w:r w:rsidRPr="002921FA">
        <w:rPr>
          <w:rFonts w:ascii="Calibri" w:eastAsia="Cambria" w:hAnsi="Calibri" w:cs="Arial"/>
          <w:b/>
          <w:bCs/>
          <w:color w:val="000000"/>
          <w:sz w:val="22"/>
          <w:szCs w:val="22"/>
        </w:rPr>
        <w:t xml:space="preserve">Studiendesign: 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>Prä-Post-</w:t>
      </w:r>
      <w:r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Studie.  </w:t>
      </w:r>
    </w:p>
    <w:p w14:paraId="694043B9" w14:textId="77777777" w:rsidR="002E76E3" w:rsidRPr="002921FA" w:rsidRDefault="002E76E3" w:rsidP="002E7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2"/>
          <w:szCs w:val="22"/>
          <w:lang w:val="en-US"/>
        </w:rPr>
      </w:pPr>
    </w:p>
    <w:p w14:paraId="751554CC" w14:textId="4BAB1C21" w:rsidR="002067B6" w:rsidRPr="002921FA" w:rsidRDefault="002E76E3" w:rsidP="002067B6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Arial"/>
          <w:bCs/>
          <w:color w:val="000000"/>
          <w:sz w:val="22"/>
          <w:szCs w:val="22"/>
        </w:rPr>
      </w:pPr>
      <w:r w:rsidRPr="002921FA">
        <w:rPr>
          <w:rFonts w:ascii="Calibri" w:eastAsia="Cambria" w:hAnsi="Calibri" w:cs="Arial"/>
          <w:b/>
          <w:bCs/>
          <w:color w:val="000000"/>
          <w:sz w:val="22"/>
          <w:szCs w:val="22"/>
        </w:rPr>
        <w:t xml:space="preserve">Methoden: </w:t>
      </w:r>
      <w:r w:rsidR="00010346" w:rsidRPr="002921FA">
        <w:rPr>
          <w:rFonts w:ascii="Calibri" w:eastAsia="Cambria" w:hAnsi="Calibri" w:cs="Arial"/>
          <w:bCs/>
          <w:color w:val="000000"/>
          <w:sz w:val="22"/>
          <w:szCs w:val="22"/>
        </w:rPr>
        <w:t>Eine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an der Schule für klassische </w:t>
      </w:r>
      <w:proofErr w:type="spellStart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>osteopathische</w:t>
      </w:r>
      <w:proofErr w:type="spellEnd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Medizin (SKOM)</w:t>
      </w:r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ausgebildete </w:t>
      </w:r>
      <w:proofErr w:type="spellStart"/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>Osteopathin</w:t>
      </w:r>
      <w:proofErr w:type="spellEnd"/>
      <w:r w:rsidR="00985B9A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f</w:t>
      </w:r>
      <w:r w:rsidR="00010346" w:rsidRPr="002921FA">
        <w:rPr>
          <w:rFonts w:ascii="Calibri" w:eastAsia="Cambria" w:hAnsi="Calibri" w:cs="Arial"/>
          <w:bCs/>
          <w:color w:val="000000"/>
          <w:sz w:val="22"/>
          <w:szCs w:val="22"/>
        </w:rPr>
        <w:t>ührte die Studie in ihrer Praxis</w:t>
      </w:r>
      <w:r w:rsidR="00971AF7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in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Lübeck,</w:t>
      </w:r>
      <w:r w:rsidR="00971AF7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</w:t>
      </w:r>
      <w:r w:rsidR="00010346" w:rsidRPr="002921FA">
        <w:rPr>
          <w:rFonts w:ascii="Calibri" w:eastAsia="Cambria" w:hAnsi="Calibri" w:cs="Arial"/>
          <w:bCs/>
          <w:color w:val="000000"/>
          <w:sz w:val="22"/>
          <w:szCs w:val="22"/>
        </w:rPr>
        <w:t>Deutschland</w:t>
      </w:r>
      <w:r w:rsidR="001B6445">
        <w:rPr>
          <w:rFonts w:ascii="Calibri" w:eastAsia="Cambria" w:hAnsi="Calibri" w:cs="Arial"/>
          <w:bCs/>
          <w:color w:val="000000"/>
          <w:sz w:val="22"/>
          <w:szCs w:val="22"/>
        </w:rPr>
        <w:t>,</w:t>
      </w:r>
      <w:r w:rsidR="00010346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durch.</w:t>
      </w:r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27 an AMD erkrankte Patienten zwischen 56 und 81 Jahren (im Mittel 71,4</w:t>
      </w:r>
      <w:r w:rsidR="00A66F30" w:rsidRPr="002921FA">
        <w:rPr>
          <w:rFonts w:asciiTheme="majorHAnsi" w:eastAsia="Cambria" w:hAnsiTheme="majorHAnsi" w:cs="Arial"/>
          <w:bCs/>
          <w:color w:val="000000"/>
          <w:sz w:val="22"/>
          <w:szCs w:val="22"/>
        </w:rPr>
        <w:t xml:space="preserve"> </w:t>
      </w:r>
      <w:r w:rsidR="00A66F30" w:rsidRPr="002921FA">
        <w:rPr>
          <w:rFonts w:asciiTheme="majorHAnsi" w:eastAsia="Cambria" w:hAnsiTheme="majorHAnsi" w:cs="Arial"/>
          <w:bCs/>
          <w:color w:val="000000"/>
          <w:sz w:val="22"/>
          <w:szCs w:val="22"/>
        </w:rPr>
        <w:sym w:font="Symbol" w:char="F0B1"/>
      </w:r>
      <w:r w:rsidR="00A66F30" w:rsidRPr="002921FA">
        <w:rPr>
          <w:rFonts w:asciiTheme="majorHAnsi" w:eastAsia="Cambria" w:hAnsiTheme="majorHAnsi" w:cs="Arial"/>
          <w:bCs/>
          <w:color w:val="000000"/>
          <w:sz w:val="22"/>
          <w:szCs w:val="22"/>
        </w:rPr>
        <w:t xml:space="preserve"> 6,8 Jahre</w:t>
      </w:r>
      <w:proofErr w:type="gramStart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>) nahmen</w:t>
      </w:r>
      <w:proofErr w:type="gramEnd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teil. Eingeschlossen wurden Patienten mit diagnostizierter Frühform der AMD (entsprechendes Beschwerdebild musste anwesend sein) sowie mit </w:t>
      </w:r>
      <w:proofErr w:type="spellStart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>Spätform</w:t>
      </w:r>
      <w:proofErr w:type="spellEnd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der </w:t>
      </w:r>
      <w:proofErr w:type="spellStart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>atrophen</w:t>
      </w:r>
      <w:proofErr w:type="spellEnd"/>
      <w:r w:rsidR="00A66F30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AMD in allen Stadien. Nach Studieneinschluss und Erhebung der Zielparameter folgte eine 6-wöchige „Wartephase“ für die Patienten. In der </w:t>
      </w:r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anschl</w:t>
      </w:r>
      <w:r w:rsidR="00C42609">
        <w:rPr>
          <w:rFonts w:ascii="Calibri" w:eastAsia="Cambria" w:hAnsi="Calibri" w:cs="Arial"/>
          <w:bCs/>
          <w:color w:val="000000"/>
          <w:sz w:val="22"/>
          <w:szCs w:val="22"/>
        </w:rPr>
        <w:t>ießenden Behandlungsphase von 8</w:t>
      </w:r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Wochen wurden nach erneuter Erfassung der Zielparameter 5 individuelle </w:t>
      </w:r>
      <w:proofErr w:type="spellStart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osteopathische</w:t>
      </w:r>
      <w:proofErr w:type="spellEnd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Behandlungen, basierend auf den ganzheitlichen </w:t>
      </w:r>
      <w:proofErr w:type="spellStart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osteopathischen</w:t>
      </w:r>
      <w:proofErr w:type="spellEnd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Prinzipien mit Behandlungsdokumentation, durchgeführt. Eine Woche nach der letzten Behandlung fand eine erneute Erhebung der Zielparameter statt. Es folgte ein Follow-</w:t>
      </w:r>
      <w:proofErr w:type="spellStart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up</w:t>
      </w:r>
      <w:proofErr w:type="spellEnd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nach 12 Wochen. Zielparameter waren Zustand des </w:t>
      </w:r>
      <w:proofErr w:type="spellStart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retinalen</w:t>
      </w:r>
      <w:proofErr w:type="spellEnd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Pigmentepithels (Spaltlampe, </w:t>
      </w:r>
      <w:proofErr w:type="spellStart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Fundusfotographie</w:t>
      </w:r>
      <w:proofErr w:type="spellEnd"/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), Sehschärfe (Sehtest mit</w:t>
      </w:r>
      <w:r w:rsidR="00F13A93">
        <w:rPr>
          <w:rFonts w:ascii="Calibri" w:eastAsia="Cambria" w:hAnsi="Calibri" w:cs="Arial"/>
          <w:bCs/>
          <w:color w:val="000000"/>
          <w:sz w:val="22"/>
          <w:szCs w:val="22"/>
        </w:rPr>
        <w:t xml:space="preserve">tels Leseprobetafel mit </w:t>
      </w:r>
      <w:proofErr w:type="spellStart"/>
      <w:r w:rsidR="00F13A93">
        <w:rPr>
          <w:rFonts w:ascii="Calibri" w:eastAsia="Cambria" w:hAnsi="Calibri" w:cs="Arial"/>
          <w:bCs/>
          <w:color w:val="000000"/>
          <w:sz w:val="22"/>
          <w:szCs w:val="22"/>
        </w:rPr>
        <w:t>Landolt</w:t>
      </w:r>
      <w:proofErr w:type="spellEnd"/>
      <w:r w:rsidR="00F13A93">
        <w:rPr>
          <w:rFonts w:ascii="Calibri" w:eastAsia="Cambria" w:hAnsi="Calibri" w:cs="Arial"/>
          <w:bCs/>
          <w:color w:val="000000"/>
          <w:sz w:val="22"/>
          <w:szCs w:val="22"/>
        </w:rPr>
        <w:t>-R</w:t>
      </w:r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ingen) und krankheits</w:t>
      </w:r>
      <w:r w:rsidR="001B6445">
        <w:rPr>
          <w:rFonts w:ascii="Calibri" w:eastAsia="Cambria" w:hAnsi="Calibri" w:cs="Arial"/>
          <w:bCs/>
          <w:color w:val="000000"/>
          <w:sz w:val="22"/>
          <w:szCs w:val="22"/>
        </w:rPr>
        <w:t>s</w:t>
      </w:r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>pezifische Lebensqualität</w:t>
      </w:r>
      <w:r w:rsidR="006756C7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(NEI-VFQ-39). </w:t>
      </w:r>
      <w:r w:rsidR="002067B6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   </w:t>
      </w:r>
    </w:p>
    <w:p w14:paraId="3F2022E0" w14:textId="513E0F5F" w:rsidR="00010346" w:rsidRPr="002921FA" w:rsidRDefault="002E76E3" w:rsidP="006756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eastAsia="Cambria" w:hAnsi="Calibri" w:cs="Arial"/>
          <w:color w:val="000000"/>
          <w:sz w:val="22"/>
          <w:szCs w:val="22"/>
        </w:rPr>
      </w:pPr>
      <w:r w:rsidRPr="002921FA">
        <w:rPr>
          <w:rFonts w:ascii="Calibri" w:eastAsia="Cambria" w:hAnsi="Calibri" w:cs="Arial"/>
          <w:b/>
          <w:color w:val="000000"/>
          <w:sz w:val="22"/>
          <w:szCs w:val="22"/>
        </w:rPr>
        <w:t>Ergebnisse:</w:t>
      </w:r>
      <w:r w:rsidRPr="002921FA">
        <w:rPr>
          <w:rFonts w:ascii="Calibri" w:eastAsia="Cambria" w:hAnsi="Calibri" w:cs="Arial"/>
          <w:color w:val="000000"/>
          <w:sz w:val="22"/>
          <w:szCs w:val="22"/>
        </w:rPr>
        <w:t xml:space="preserve"> </w:t>
      </w:r>
      <w:r w:rsidR="006756C7" w:rsidRPr="002921FA">
        <w:rPr>
          <w:rFonts w:ascii="Calibri" w:eastAsia="Cambria" w:hAnsi="Calibri" w:cs="Arial"/>
          <w:color w:val="000000"/>
          <w:sz w:val="22"/>
          <w:szCs w:val="22"/>
        </w:rPr>
        <w:t>Die Erfassung des Zielparameters „</w:t>
      </w:r>
      <w:r w:rsidR="006756C7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Zustand des </w:t>
      </w:r>
      <w:proofErr w:type="spellStart"/>
      <w:r w:rsidR="006756C7" w:rsidRPr="002921FA">
        <w:rPr>
          <w:rFonts w:ascii="Calibri" w:eastAsia="Cambria" w:hAnsi="Calibri" w:cs="Arial"/>
          <w:bCs/>
          <w:color w:val="000000"/>
          <w:sz w:val="22"/>
          <w:szCs w:val="22"/>
        </w:rPr>
        <w:t>retinalen</w:t>
      </w:r>
      <w:proofErr w:type="spellEnd"/>
      <w:r w:rsidR="006756C7" w:rsidRPr="002921FA">
        <w:rPr>
          <w:rFonts w:ascii="Calibri" w:eastAsia="Cambria" w:hAnsi="Calibri" w:cs="Arial"/>
          <w:bCs/>
          <w:color w:val="000000"/>
          <w:sz w:val="22"/>
          <w:szCs w:val="22"/>
        </w:rPr>
        <w:t xml:space="preserve"> Pigmentepithels“ schlug fehl. </w:t>
      </w:r>
      <w:r w:rsidR="006756C7" w:rsidRPr="002921FA">
        <w:rPr>
          <w:rFonts w:ascii="Calibri" w:eastAsia="Cambria" w:hAnsi="Calibri" w:cs="Arial"/>
          <w:color w:val="000000"/>
          <w:sz w:val="22"/>
          <w:szCs w:val="22"/>
        </w:rPr>
        <w:t>Der Prä-Post-Vergleich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zeigte eine statistisch signifikante </w:t>
      </w:r>
      <w:r w:rsidR="006756C7" w:rsidRPr="002921FA">
        <w:rPr>
          <w:rFonts w:ascii="Calibri" w:eastAsia="Cambria" w:hAnsi="Calibri" w:cs="Arial"/>
          <w:color w:val="000000"/>
          <w:sz w:val="22"/>
          <w:szCs w:val="22"/>
        </w:rPr>
        <w:t>Verbesserung für den Zielparameter Sehschärfe des rechten Auges (Sehtest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 xml:space="preserve">: </w:t>
      </w:r>
      <w:r w:rsidR="006756C7" w:rsidRPr="002921FA">
        <w:rPr>
          <w:rFonts w:ascii="Calibri" w:eastAsia="Cambria" w:hAnsi="Calibri" w:cs="Arial"/>
          <w:color w:val="000000"/>
          <w:sz w:val="22"/>
          <w:szCs w:val="22"/>
        </w:rPr>
        <w:t>Prä-Post-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>Differenz der Mittelw</w:t>
      </w:r>
      <w:r w:rsidR="006756C7" w:rsidRPr="002921FA">
        <w:rPr>
          <w:rFonts w:ascii="Calibri" w:eastAsia="Cambria" w:hAnsi="Calibri" w:cs="Arial"/>
          <w:color w:val="000000"/>
          <w:sz w:val="22"/>
          <w:szCs w:val="22"/>
        </w:rPr>
        <w:t>erte 0,</w:t>
      </w:r>
      <w:r w:rsidR="00A26485" w:rsidRPr="002921FA">
        <w:rPr>
          <w:rFonts w:ascii="Calibri" w:eastAsia="Cambria" w:hAnsi="Calibri" w:cs="Arial"/>
          <w:color w:val="000000"/>
          <w:sz w:val="22"/>
          <w:szCs w:val="22"/>
        </w:rPr>
        <w:t>0</w:t>
      </w:r>
      <w:r w:rsidR="006756C7" w:rsidRPr="002921FA">
        <w:rPr>
          <w:rFonts w:ascii="Calibri" w:eastAsia="Cambria" w:hAnsi="Calibri" w:cs="Arial"/>
          <w:color w:val="000000"/>
          <w:sz w:val="22"/>
          <w:szCs w:val="22"/>
        </w:rPr>
        <w:t>8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 xml:space="preserve">; </w:t>
      </w:r>
      <w:r w:rsidR="00A26485" w:rsidRPr="002921FA">
        <w:rPr>
          <w:rFonts w:ascii="Calibri" w:eastAsia="Cambria" w:hAnsi="Calibri" w:cs="Arial"/>
          <w:color w:val="000000"/>
          <w:sz w:val="22"/>
          <w:szCs w:val="22"/>
        </w:rPr>
        <w:t>95%CI: 0,04 bis 0,1; p=0,001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>). Währe</w:t>
      </w:r>
      <w:r w:rsidR="00A26485" w:rsidRPr="002921FA">
        <w:rPr>
          <w:rFonts w:ascii="Calibri" w:eastAsia="Cambria" w:hAnsi="Calibri" w:cs="Arial"/>
          <w:color w:val="000000"/>
          <w:sz w:val="22"/>
          <w:szCs w:val="22"/>
        </w:rPr>
        <w:t>nd des Behandlungsverlaufs verbesserte sich die Sehschärfe rechts um 10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>%</w:t>
      </w:r>
      <w:r w:rsidR="00A2648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und die des linken Auges um 7%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>.</w:t>
      </w:r>
      <w:r w:rsidR="002F14EB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Die Pat</w:t>
      </w:r>
      <w:r w:rsidR="00F21D5A" w:rsidRPr="002921FA">
        <w:rPr>
          <w:rFonts w:ascii="Calibri" w:eastAsia="Cambria" w:hAnsi="Calibri" w:cs="Arial"/>
          <w:color w:val="000000"/>
          <w:sz w:val="22"/>
          <w:szCs w:val="22"/>
        </w:rPr>
        <w:t>ienten empfanden einen Anstieg</w:t>
      </w:r>
      <w:r w:rsidR="002F14EB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ihrer Lebensqualität</w:t>
      </w:r>
      <w:r w:rsidR="00F21D5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um</w:t>
      </w:r>
      <w:r w:rsidR="003B582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8%</w:t>
      </w:r>
      <w:r w:rsidR="00CD2DC0" w:rsidRPr="002921FA">
        <w:rPr>
          <w:rFonts w:ascii="Calibri" w:eastAsia="Cambria" w:hAnsi="Calibri" w:cs="Arial"/>
          <w:color w:val="000000"/>
          <w:sz w:val="22"/>
          <w:szCs w:val="22"/>
        </w:rPr>
        <w:t xml:space="preserve">, die sich in der </w:t>
      </w:r>
      <w:r w:rsidR="003B5825" w:rsidRPr="002921FA">
        <w:rPr>
          <w:rFonts w:ascii="Calibri" w:eastAsia="Cambria" w:hAnsi="Calibri" w:cs="Arial"/>
          <w:color w:val="000000"/>
          <w:sz w:val="22"/>
          <w:szCs w:val="22"/>
        </w:rPr>
        <w:t>Berechnung als statistisch signifikant zeigte (</w:t>
      </w:r>
      <w:r w:rsidR="003B5825" w:rsidRPr="002921FA">
        <w:rPr>
          <w:rFonts w:ascii="Calibri" w:eastAsia="Cambria" w:hAnsi="Calibri" w:cs="Arial"/>
          <w:bCs/>
          <w:color w:val="000000"/>
          <w:sz w:val="22"/>
          <w:szCs w:val="22"/>
        </w:rPr>
        <w:t>NEI-VFQ-39</w:t>
      </w:r>
      <w:r w:rsidR="003B5825" w:rsidRPr="002921FA">
        <w:rPr>
          <w:rFonts w:ascii="Calibri" w:eastAsia="Cambria" w:hAnsi="Calibri" w:cs="Arial"/>
          <w:color w:val="000000"/>
          <w:sz w:val="22"/>
          <w:szCs w:val="22"/>
        </w:rPr>
        <w:t>: Prä-Post-Differenz der Mittelwerte 5,9; 95%CI: 4,5 bis 7,4; p&lt;0,005).</w:t>
      </w:r>
      <w:r w:rsidR="00CD2DC0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Als klinisch relevante Differenz wird aufgrund der bisherigen Studienlage eine Verbesserung von 5 bis 10 Punkten angegeben. Die</w:t>
      </w:r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Verbesserung zeigt sich zum Follow-</w:t>
      </w:r>
      <w:proofErr w:type="spellStart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>up</w:t>
      </w:r>
      <w:proofErr w:type="spellEnd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Termin</w:t>
      </w:r>
      <w:r w:rsidR="00CD2DC0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(</w:t>
      </w:r>
      <w:proofErr w:type="gramStart"/>
      <w:r w:rsidR="00CD2DC0" w:rsidRPr="002921FA">
        <w:rPr>
          <w:rFonts w:ascii="Calibri" w:eastAsia="Cambria" w:hAnsi="Calibri" w:cs="Arial"/>
          <w:color w:val="000000"/>
          <w:sz w:val="22"/>
          <w:szCs w:val="22"/>
        </w:rPr>
        <w:t>n =</w:t>
      </w:r>
      <w:proofErr w:type="gramEnd"/>
      <w:r w:rsidR="00CD2DC0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17)</w:t>
      </w:r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weitgehend stabil. </w:t>
      </w:r>
      <w:r w:rsidR="002711D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Die häufigsten </w:t>
      </w:r>
      <w:proofErr w:type="spellStart"/>
      <w:r w:rsidR="002711D5" w:rsidRPr="002921FA">
        <w:rPr>
          <w:rFonts w:ascii="Calibri" w:eastAsia="Cambria" w:hAnsi="Calibri" w:cs="Arial"/>
          <w:color w:val="000000"/>
          <w:sz w:val="22"/>
          <w:szCs w:val="22"/>
        </w:rPr>
        <w:t>osteopathischen</w:t>
      </w:r>
      <w:proofErr w:type="spellEnd"/>
      <w:r w:rsidR="002711D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Dysfunktionen fanden sich im parietalen Sys</w:t>
      </w:r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>tem</w:t>
      </w:r>
      <w:proofErr w:type="gramStart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>, bei</w:t>
      </w:r>
      <w:proofErr w:type="gramEnd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fast allen Patienten</w:t>
      </w:r>
      <w:r w:rsidR="002711D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konnte eine Dysfunktion im Bereich</w:t>
      </w:r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BWS / HWS</w:t>
      </w:r>
      <w:r w:rsidR="002711D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diagnostiziert werden.</w:t>
      </w:r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Im viszeralen Bereich zeigten sich die häufigste Dysfunktionen in der Region des Thorax (</w:t>
      </w:r>
      <w:proofErr w:type="spellStart"/>
      <w:proofErr w:type="gramStart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>Mediastinum</w:t>
      </w:r>
      <w:proofErr w:type="spellEnd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>, Perikard)</w:t>
      </w:r>
      <w:proofErr w:type="gramEnd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und im </w:t>
      </w:r>
      <w:proofErr w:type="spellStart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>kranio</w:t>
      </w:r>
      <w:proofErr w:type="spellEnd"/>
      <w:r w:rsidR="002921FA" w:rsidRPr="002921FA">
        <w:rPr>
          <w:rFonts w:ascii="Calibri" w:eastAsia="Cambria" w:hAnsi="Calibri" w:cs="Arial"/>
          <w:color w:val="000000"/>
          <w:sz w:val="22"/>
          <w:szCs w:val="22"/>
        </w:rPr>
        <w:t xml:space="preserve">-sakralen Bereich waren die orbitalen Faszien bei allen Patienten betroffen. </w:t>
      </w:r>
      <w:r w:rsidR="002711D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</w:t>
      </w:r>
      <w:r w:rsidR="005B5CB2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  </w:t>
      </w:r>
    </w:p>
    <w:p w14:paraId="4EE6C97C" w14:textId="77777777" w:rsidR="00010346" w:rsidRPr="002921FA" w:rsidRDefault="00010346" w:rsidP="00010346">
      <w:pPr>
        <w:spacing w:before="120"/>
        <w:rPr>
          <w:rFonts w:ascii="Arial" w:hAnsi="Arial" w:cs="Arial"/>
          <w:sz w:val="22"/>
          <w:szCs w:val="22"/>
        </w:rPr>
      </w:pPr>
    </w:p>
    <w:p w14:paraId="06CC7949" w14:textId="3751401A" w:rsidR="002711D5" w:rsidRPr="002921FA" w:rsidRDefault="002E76E3" w:rsidP="002E7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2"/>
          <w:szCs w:val="22"/>
        </w:rPr>
      </w:pPr>
      <w:r w:rsidRPr="002921FA">
        <w:rPr>
          <w:rFonts w:ascii="Calibri" w:eastAsia="Cambria" w:hAnsi="Calibri" w:cs="Arial"/>
          <w:b/>
          <w:color w:val="000000"/>
          <w:sz w:val="22"/>
          <w:szCs w:val="22"/>
        </w:rPr>
        <w:t>Schlussfolgerung:</w:t>
      </w:r>
      <w:r w:rsidR="002921FA">
        <w:rPr>
          <w:rFonts w:ascii="Calibri" w:eastAsia="Cambria" w:hAnsi="Calibri" w:cs="Arial"/>
          <w:color w:val="000000"/>
          <w:sz w:val="22"/>
          <w:szCs w:val="22"/>
        </w:rPr>
        <w:t xml:space="preserve"> Fünf</w:t>
      </w:r>
      <w:r w:rsidRPr="002921FA">
        <w:rPr>
          <w:rFonts w:ascii="Calibri" w:eastAsia="Cambria" w:hAnsi="Calibri" w:cs="Arial"/>
          <w:color w:val="000000"/>
          <w:sz w:val="22"/>
          <w:szCs w:val="22"/>
        </w:rPr>
        <w:t xml:space="preserve"> </w:t>
      </w:r>
      <w:proofErr w:type="spellStart"/>
      <w:r w:rsidRPr="002921FA">
        <w:rPr>
          <w:rFonts w:ascii="Calibri" w:eastAsia="Cambria" w:hAnsi="Calibri" w:cs="Arial"/>
          <w:color w:val="000000"/>
          <w:sz w:val="22"/>
          <w:szCs w:val="22"/>
        </w:rPr>
        <w:t>osteopathische</w:t>
      </w:r>
      <w:proofErr w:type="spellEnd"/>
      <w:r w:rsidRPr="002921FA">
        <w:rPr>
          <w:rFonts w:ascii="Calibri" w:eastAsia="Cambria" w:hAnsi="Calibri" w:cs="Arial"/>
          <w:color w:val="000000"/>
          <w:sz w:val="22"/>
          <w:szCs w:val="22"/>
        </w:rPr>
        <w:t xml:space="preserve"> Behandlungen über</w:t>
      </w:r>
      <w:r w:rsidR="00C42609">
        <w:rPr>
          <w:rFonts w:ascii="Calibri" w:eastAsia="Cambria" w:hAnsi="Calibri" w:cs="Arial"/>
          <w:color w:val="000000"/>
          <w:sz w:val="22"/>
          <w:szCs w:val="22"/>
        </w:rPr>
        <w:t xml:space="preserve"> einen Zeitraum von 8</w:t>
      </w:r>
      <w:r w:rsidRPr="002921FA">
        <w:rPr>
          <w:rFonts w:ascii="Calibri" w:eastAsia="Cambria" w:hAnsi="Calibri" w:cs="Arial"/>
          <w:color w:val="000000"/>
          <w:sz w:val="22"/>
          <w:szCs w:val="22"/>
        </w:rPr>
        <w:t xml:space="preserve"> Wochen führten zu statistisch signifikanten und klinisch relevanten positiven Veränderung</w:t>
      </w:r>
      <w:r w:rsidR="00892F45" w:rsidRPr="002921FA">
        <w:rPr>
          <w:rFonts w:ascii="Calibri" w:eastAsia="Cambria" w:hAnsi="Calibri" w:cs="Arial"/>
          <w:color w:val="000000"/>
          <w:sz w:val="22"/>
          <w:szCs w:val="22"/>
        </w:rPr>
        <w:t>en der</w:t>
      </w:r>
      <w:r w:rsidR="002921FA">
        <w:rPr>
          <w:rFonts w:ascii="Calibri" w:eastAsia="Cambria" w:hAnsi="Calibri" w:cs="Arial"/>
          <w:color w:val="000000"/>
          <w:sz w:val="22"/>
          <w:szCs w:val="22"/>
        </w:rPr>
        <w:t xml:space="preserve"> Sehschärfe und der krankheitsbezogenen Lebensqualität bei Patienten mit AMD</w:t>
      </w:r>
      <w:r w:rsidRPr="002921FA">
        <w:rPr>
          <w:rFonts w:ascii="Calibri" w:eastAsia="Cambria" w:hAnsi="Calibri" w:cs="Arial"/>
          <w:color w:val="000000"/>
          <w:sz w:val="22"/>
          <w:szCs w:val="22"/>
        </w:rPr>
        <w:t>.</w:t>
      </w:r>
      <w:r w:rsidR="001B6445">
        <w:rPr>
          <w:rFonts w:ascii="Calibri" w:eastAsia="Cambria" w:hAnsi="Calibri" w:cs="Arial"/>
          <w:color w:val="000000"/>
          <w:sz w:val="22"/>
          <w:szCs w:val="22"/>
        </w:rPr>
        <w:t xml:space="preserve"> Diese Prä-post-Studie gibt erste Hinweise auf eine Effektivität der </w:t>
      </w:r>
      <w:proofErr w:type="spellStart"/>
      <w:r w:rsidR="001B6445">
        <w:rPr>
          <w:rFonts w:ascii="Calibri" w:eastAsia="Cambria" w:hAnsi="Calibri" w:cs="Arial"/>
          <w:color w:val="000000"/>
          <w:sz w:val="22"/>
          <w:szCs w:val="22"/>
        </w:rPr>
        <w:t>osteopathischen</w:t>
      </w:r>
      <w:proofErr w:type="spellEnd"/>
      <w:r w:rsidR="001B6445">
        <w:rPr>
          <w:rFonts w:ascii="Calibri" w:eastAsia="Cambria" w:hAnsi="Calibri" w:cs="Arial"/>
          <w:color w:val="000000"/>
          <w:sz w:val="22"/>
          <w:szCs w:val="22"/>
        </w:rPr>
        <w:t xml:space="preserve"> Behandlung, weitere Studien in qualitativ höherwertigen Designs (randomisierte kontrollierte Studien) wären wünschenswert</w:t>
      </w:r>
      <w:r w:rsidR="002711D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.  </w:t>
      </w:r>
      <w:r w:rsidR="00892F45" w:rsidRPr="002921FA">
        <w:rPr>
          <w:rFonts w:ascii="Calibri" w:eastAsia="Cambria" w:hAnsi="Calibri" w:cs="Arial"/>
          <w:color w:val="000000"/>
          <w:sz w:val="22"/>
          <w:szCs w:val="22"/>
        </w:rPr>
        <w:t xml:space="preserve"> </w:t>
      </w:r>
    </w:p>
    <w:p w14:paraId="6D5593D3" w14:textId="77777777" w:rsidR="00010346" w:rsidRDefault="00010346" w:rsidP="00010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Cs w:val="21"/>
        </w:rPr>
      </w:pPr>
    </w:p>
    <w:p w14:paraId="0714E93C" w14:textId="77777777" w:rsidR="00010346" w:rsidRDefault="00010346" w:rsidP="00010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Cs w:val="21"/>
        </w:rPr>
      </w:pPr>
    </w:p>
    <w:p w14:paraId="484465B5" w14:textId="77777777" w:rsidR="00010346" w:rsidRPr="00FA38FE" w:rsidRDefault="00010346" w:rsidP="00010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Cs w:val="21"/>
        </w:rPr>
      </w:pPr>
    </w:p>
    <w:p w14:paraId="02FEB277" w14:textId="77777777" w:rsidR="00010346" w:rsidRDefault="00010346" w:rsidP="00010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Cs w:val="21"/>
        </w:rPr>
      </w:pPr>
      <w:r>
        <w:rPr>
          <w:rFonts w:ascii="Calibri" w:eastAsia="Cambria" w:hAnsi="Calibri" w:cs="Arial"/>
          <w:color w:val="000000"/>
          <w:szCs w:val="21"/>
        </w:rPr>
        <w:t xml:space="preserve">  </w:t>
      </w:r>
    </w:p>
    <w:p w14:paraId="00112D51" w14:textId="77777777" w:rsidR="00010346" w:rsidRDefault="00010346" w:rsidP="00010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Cs w:val="21"/>
        </w:rPr>
      </w:pPr>
    </w:p>
    <w:p w14:paraId="1AD6F66C" w14:textId="60DA93AB" w:rsidR="00046F73" w:rsidRPr="009671D6" w:rsidRDefault="00046F73" w:rsidP="009671D6">
      <w:pPr>
        <w:widowControl w:val="0"/>
        <w:suppressAutoHyphens/>
        <w:ind w:left="-57"/>
        <w:rPr>
          <w:rFonts w:ascii="Calibri" w:eastAsia="Cambria" w:hAnsi="Calibri" w:cs="Arial"/>
          <w:color w:val="000000"/>
          <w:szCs w:val="21"/>
        </w:rPr>
      </w:pPr>
      <w:bookmarkStart w:id="0" w:name="_GoBack"/>
      <w:bookmarkEnd w:id="0"/>
    </w:p>
    <w:sectPr w:rsidR="00046F73" w:rsidRPr="009671D6" w:rsidSect="00046F7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E3"/>
    <w:rsid w:val="00010346"/>
    <w:rsid w:val="0002201F"/>
    <w:rsid w:val="00046F73"/>
    <w:rsid w:val="00051AFF"/>
    <w:rsid w:val="00067C21"/>
    <w:rsid w:val="000B305E"/>
    <w:rsid w:val="001723E8"/>
    <w:rsid w:val="00185E71"/>
    <w:rsid w:val="001B6445"/>
    <w:rsid w:val="002067B6"/>
    <w:rsid w:val="00214165"/>
    <w:rsid w:val="00254786"/>
    <w:rsid w:val="002711D5"/>
    <w:rsid w:val="002921FA"/>
    <w:rsid w:val="002C7C96"/>
    <w:rsid w:val="002E76E3"/>
    <w:rsid w:val="002F14EB"/>
    <w:rsid w:val="0030477E"/>
    <w:rsid w:val="00305F5B"/>
    <w:rsid w:val="0038153C"/>
    <w:rsid w:val="003B5825"/>
    <w:rsid w:val="00413F5B"/>
    <w:rsid w:val="004226A8"/>
    <w:rsid w:val="0046573B"/>
    <w:rsid w:val="004D74D1"/>
    <w:rsid w:val="005941D3"/>
    <w:rsid w:val="005A28CD"/>
    <w:rsid w:val="005A7F71"/>
    <w:rsid w:val="005B5CB2"/>
    <w:rsid w:val="005F7C3D"/>
    <w:rsid w:val="006756C7"/>
    <w:rsid w:val="00694D59"/>
    <w:rsid w:val="006D505E"/>
    <w:rsid w:val="0078736F"/>
    <w:rsid w:val="007E669E"/>
    <w:rsid w:val="00841429"/>
    <w:rsid w:val="00855ECA"/>
    <w:rsid w:val="0086515B"/>
    <w:rsid w:val="00884C21"/>
    <w:rsid w:val="00892F45"/>
    <w:rsid w:val="009671D6"/>
    <w:rsid w:val="00971AF7"/>
    <w:rsid w:val="009723DB"/>
    <w:rsid w:val="00985B9A"/>
    <w:rsid w:val="009A5C5E"/>
    <w:rsid w:val="009E12EA"/>
    <w:rsid w:val="00A26485"/>
    <w:rsid w:val="00A478E4"/>
    <w:rsid w:val="00A66F30"/>
    <w:rsid w:val="00AC6F66"/>
    <w:rsid w:val="00B37085"/>
    <w:rsid w:val="00C42609"/>
    <w:rsid w:val="00C61A65"/>
    <w:rsid w:val="00CD2DC0"/>
    <w:rsid w:val="00CF53C4"/>
    <w:rsid w:val="00D064F8"/>
    <w:rsid w:val="00E04177"/>
    <w:rsid w:val="00E1784D"/>
    <w:rsid w:val="00E604DF"/>
    <w:rsid w:val="00EA5C52"/>
    <w:rsid w:val="00F13A93"/>
    <w:rsid w:val="00F21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7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2797</Characters>
  <Application>Microsoft Macintosh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Rütz</dc:creator>
  <cp:keywords/>
  <cp:lastModifiedBy>Florian Schwerla</cp:lastModifiedBy>
  <cp:revision>3</cp:revision>
  <dcterms:created xsi:type="dcterms:W3CDTF">2015-11-19T17:40:00Z</dcterms:created>
  <dcterms:modified xsi:type="dcterms:W3CDTF">2015-11-19T17:40:00Z</dcterms:modified>
</cp:coreProperties>
</file>