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030CA" w14:textId="77777777" w:rsidR="00A6160E" w:rsidRDefault="00A6160E" w:rsidP="00A6160E">
      <w:pPr>
        <w:widowControl w:val="0"/>
        <w:suppressAutoHyphens/>
        <w:rPr>
          <w:rFonts w:ascii="Calibri" w:hAnsi="Calibri"/>
          <w:b/>
          <w:sz w:val="24"/>
        </w:rPr>
      </w:pPr>
      <w:r w:rsidRPr="00A6160E">
        <w:rPr>
          <w:rFonts w:asciiTheme="minorHAnsi" w:hAnsiTheme="minorHAnsi"/>
          <w:b/>
          <w:sz w:val="24"/>
        </w:rPr>
        <w:t>O</w:t>
      </w:r>
      <w:bookmarkStart w:id="0" w:name="_GoBack"/>
      <w:bookmarkEnd w:id="0"/>
      <w:r w:rsidRPr="00A6160E">
        <w:rPr>
          <w:rFonts w:asciiTheme="minorHAnsi" w:hAnsiTheme="minorHAnsi"/>
          <w:b/>
          <w:sz w:val="24"/>
        </w:rPr>
        <w:t xml:space="preserve">steopathische Behandlung von Patienten mit </w:t>
      </w:r>
      <w:proofErr w:type="spellStart"/>
      <w:r w:rsidRPr="00A6160E">
        <w:rPr>
          <w:rFonts w:asciiTheme="minorHAnsi" w:hAnsiTheme="minorHAnsi"/>
          <w:b/>
          <w:sz w:val="24"/>
        </w:rPr>
        <w:t>Impingement</w:t>
      </w:r>
      <w:proofErr w:type="spellEnd"/>
      <w:r w:rsidRPr="00A6160E">
        <w:rPr>
          <w:rFonts w:asciiTheme="minorHAnsi" w:hAnsiTheme="minorHAnsi"/>
          <w:b/>
          <w:sz w:val="24"/>
        </w:rPr>
        <w:t>-Syndrom der Schulter. Prä-Post-</w:t>
      </w:r>
      <w:r w:rsidRPr="00FA38FE">
        <w:rPr>
          <w:rFonts w:ascii="Calibri" w:hAnsi="Calibri"/>
          <w:b/>
          <w:sz w:val="24"/>
        </w:rPr>
        <w:t xml:space="preserve">Studie. </w:t>
      </w:r>
    </w:p>
    <w:p w14:paraId="14BC8722" w14:textId="77777777" w:rsidR="00A6160E" w:rsidRDefault="00A6160E" w:rsidP="00A6160E">
      <w:pPr>
        <w:widowControl w:val="0"/>
        <w:suppressAutoHyphens/>
        <w:rPr>
          <w:rFonts w:ascii="Calibri" w:hAnsi="Calibri"/>
          <w:b/>
          <w:sz w:val="24"/>
        </w:rPr>
      </w:pPr>
      <w:proofErr w:type="spellStart"/>
      <w:r>
        <w:rPr>
          <w:rFonts w:asciiTheme="majorHAnsi" w:hAnsiTheme="majorHAnsi" w:cs="Arial"/>
          <w:i/>
          <w:color w:val="000090"/>
          <w:szCs w:val="28"/>
        </w:rPr>
        <w:t>Tallo</w:t>
      </w:r>
      <w:proofErr w:type="spellEnd"/>
      <w:r>
        <w:rPr>
          <w:rFonts w:asciiTheme="majorHAnsi" w:hAnsiTheme="majorHAnsi" w:cs="Arial"/>
          <w:i/>
          <w:color w:val="000090"/>
          <w:szCs w:val="28"/>
        </w:rPr>
        <w:t xml:space="preserve"> Fried </w:t>
      </w:r>
    </w:p>
    <w:p w14:paraId="1F98DD59" w14:textId="77777777" w:rsidR="00A6160E" w:rsidRPr="00B506DA" w:rsidRDefault="00A6160E" w:rsidP="00A6160E">
      <w:pPr>
        <w:widowControl w:val="0"/>
        <w:suppressAutoHyphens/>
        <w:ind w:left="-57"/>
        <w:rPr>
          <w:rFonts w:ascii="Calibri" w:hAnsi="Calibri"/>
          <w:b/>
          <w:sz w:val="24"/>
        </w:rPr>
      </w:pPr>
    </w:p>
    <w:p w14:paraId="46706970" w14:textId="77777777" w:rsidR="00A6160E" w:rsidRDefault="00A6160E" w:rsidP="00A6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>Studienziel:</w:t>
      </w:r>
      <w:r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 xml:space="preserve"> 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Untersuchung der Effektivität einer Serie von drei osteopathischen Behandlungen in Bezug auf die Zielparameter Schmerz und Funktionalität der Schulter bei Patienten mit diagnostiziertem und symptomatischem </w:t>
      </w:r>
      <w:proofErr w:type="spell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Impingement</w:t>
      </w:r>
      <w:proofErr w:type="spell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-Syndrom der </w:t>
      </w:r>
      <w:proofErr w:type="gram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Schulter .</w:t>
      </w:r>
      <w:proofErr w:type="gram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 </w:t>
      </w:r>
    </w:p>
    <w:p w14:paraId="6189B9D0" w14:textId="77777777" w:rsidR="00A6160E" w:rsidRDefault="00A6160E" w:rsidP="00A6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</w:p>
    <w:p w14:paraId="7BAA4F61" w14:textId="77777777" w:rsidR="00A6160E" w:rsidRPr="00605833" w:rsidRDefault="00A6160E" w:rsidP="00A6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 xml:space="preserve">Studiendesign: 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Prä-Post-</w:t>
      </w:r>
      <w:r w:rsidRPr="00605833"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Studie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.  </w:t>
      </w:r>
    </w:p>
    <w:p w14:paraId="4FB42EE1" w14:textId="77777777" w:rsidR="00A6160E" w:rsidRPr="00FA38FE" w:rsidRDefault="00A6160E" w:rsidP="00A6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Cs w:val="21"/>
          <w:lang w:val="en-US" w:eastAsia="en-US"/>
        </w:rPr>
      </w:pPr>
    </w:p>
    <w:p w14:paraId="4E774448" w14:textId="77777777" w:rsidR="00A6160E" w:rsidRPr="00B506DA" w:rsidRDefault="00A6160E" w:rsidP="00A6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</w:pPr>
      <w:r w:rsidRPr="000D7D5D"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 xml:space="preserve">Methoden: </w:t>
      </w:r>
      <w:r w:rsidRPr="005F1C20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Ein an der Hochschule Fresenius ausgebildeter </w:t>
      </w:r>
      <w:proofErr w:type="spellStart"/>
      <w:r w:rsidRPr="005F1C20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>Osteopath</w:t>
      </w:r>
      <w:proofErr w:type="spellEnd"/>
      <w:r w:rsidRPr="005F1C20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führte die Unter</w:t>
      </w:r>
      <w:r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>suchung in der Wiesbadener Dependance der orthopädischen Praxis „Gelenkzentrum Rhein-Main“</w:t>
      </w:r>
      <w:r w:rsidRPr="005F1C20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durch.</w:t>
      </w:r>
      <w:r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20</w:t>
      </w:r>
      <w:r w:rsidRPr="005F1C20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Patienten </w:t>
      </w:r>
      <w:r w:rsidRPr="005F1C20">
        <w:rPr>
          <w:rFonts w:asciiTheme="majorHAnsi" w:hAnsiTheme="majorHAnsi"/>
          <w:sz w:val="24"/>
          <w:szCs w:val="24"/>
        </w:rPr>
        <w:t>(</w:t>
      </w:r>
      <w:r w:rsidRPr="005F1C20">
        <w:rPr>
          <w:rFonts w:ascii="Times New Roman" w:hAnsi="Times New Roman"/>
          <w:sz w:val="24"/>
          <w:szCs w:val="24"/>
        </w:rPr>
        <w:t>♀</w:t>
      </w:r>
      <w:r>
        <w:rPr>
          <w:rFonts w:asciiTheme="majorHAnsi" w:hAnsiTheme="majorHAnsi"/>
          <w:sz w:val="24"/>
          <w:szCs w:val="24"/>
        </w:rPr>
        <w:t xml:space="preserve"> 12</w:t>
      </w:r>
      <w:r w:rsidRPr="005F1C20">
        <w:rPr>
          <w:rFonts w:asciiTheme="majorHAnsi" w:hAnsiTheme="majorHAnsi"/>
          <w:sz w:val="24"/>
          <w:szCs w:val="24"/>
        </w:rPr>
        <w:t xml:space="preserve">, </w:t>
      </w:r>
      <w:r w:rsidRPr="005F1C20">
        <w:rPr>
          <w:rFonts w:ascii="Times New Roman" w:hAnsi="Times New Roman"/>
          <w:sz w:val="24"/>
          <w:szCs w:val="24"/>
        </w:rPr>
        <w:t>♂</w:t>
      </w:r>
      <w:r w:rsidRPr="005F1C20">
        <w:rPr>
          <w:rFonts w:asciiTheme="majorHAnsi" w:hAnsiTheme="majorHAnsi"/>
          <w:sz w:val="24"/>
          <w:szCs w:val="24"/>
        </w:rPr>
        <w:t xml:space="preserve"> 8</w:t>
      </w:r>
      <w:proofErr w:type="gramStart"/>
      <w:r w:rsidRPr="005F1C20">
        <w:rPr>
          <w:rFonts w:asciiTheme="majorHAnsi" w:hAnsiTheme="majorHAnsi"/>
          <w:sz w:val="24"/>
          <w:szCs w:val="24"/>
        </w:rPr>
        <w:t xml:space="preserve">) </w:t>
      </w:r>
      <w:r w:rsidRPr="005F1C20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>zwischen</w:t>
      </w:r>
      <w:proofErr w:type="gramEnd"/>
      <w:r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18 und 57</w:t>
      </w:r>
      <w:r w:rsidRPr="005F1C20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Jahren (im Mittel </w:t>
      </w:r>
      <w:r>
        <w:rPr>
          <w:rFonts w:asciiTheme="majorHAnsi" w:eastAsia="Cambria" w:hAnsiTheme="majorHAnsi" w:cs="Arial"/>
          <w:color w:val="000000"/>
          <w:sz w:val="24"/>
          <w:szCs w:val="24"/>
          <w:lang w:eastAsia="en-US"/>
        </w:rPr>
        <w:t>41 ± 11,5</w:t>
      </w:r>
      <w:r w:rsidRPr="005F1C20">
        <w:rPr>
          <w:rFonts w:asciiTheme="majorHAnsi" w:eastAsia="Cambria" w:hAnsiTheme="majorHAnsi" w:cs="Arial"/>
          <w:color w:val="000000"/>
          <w:sz w:val="24"/>
          <w:szCs w:val="24"/>
          <w:lang w:eastAsia="en-US"/>
        </w:rPr>
        <w:t xml:space="preserve"> Jahre)</w:t>
      </w:r>
      <w:r>
        <w:rPr>
          <w:rFonts w:asciiTheme="majorHAnsi" w:eastAsia="Cambria" w:hAnsiTheme="majorHAnsi" w:cs="Arial"/>
          <w:color w:val="000000"/>
          <w:sz w:val="24"/>
          <w:szCs w:val="24"/>
          <w:lang w:eastAsia="en-US"/>
        </w:rPr>
        <w:t>,</w:t>
      </w:r>
      <w:r w:rsidRPr="005F1C20">
        <w:rPr>
          <w:rFonts w:asciiTheme="majorHAnsi" w:eastAsia="Cambria" w:hAnsiTheme="majorHAnsi" w:cs="Arial"/>
          <w:color w:val="000000"/>
          <w:sz w:val="24"/>
          <w:szCs w:val="24"/>
          <w:lang w:eastAsia="en-US"/>
        </w:rPr>
        <w:t xml:space="preserve"> mit der ärzt</w:t>
      </w:r>
      <w:r>
        <w:rPr>
          <w:rFonts w:asciiTheme="majorHAnsi" w:eastAsia="Cambria" w:hAnsiTheme="majorHAnsi" w:cs="Arial"/>
          <w:color w:val="000000"/>
          <w:sz w:val="24"/>
          <w:szCs w:val="24"/>
          <w:lang w:eastAsia="en-US"/>
        </w:rPr>
        <w:t xml:space="preserve">lichen Diagnose eines externen </w:t>
      </w:r>
      <w:proofErr w:type="spellStart"/>
      <w:r>
        <w:rPr>
          <w:rFonts w:asciiTheme="majorHAnsi" w:eastAsia="Cambria" w:hAnsiTheme="majorHAnsi" w:cs="Arial"/>
          <w:color w:val="000000"/>
          <w:sz w:val="24"/>
          <w:szCs w:val="24"/>
          <w:lang w:eastAsia="en-US"/>
        </w:rPr>
        <w:t>Impingment</w:t>
      </w:r>
      <w:proofErr w:type="spellEnd"/>
      <w:r>
        <w:rPr>
          <w:rFonts w:asciiTheme="majorHAnsi" w:eastAsia="Cambria" w:hAnsiTheme="majorHAnsi" w:cs="Arial"/>
          <w:color w:val="000000"/>
          <w:sz w:val="24"/>
          <w:szCs w:val="24"/>
          <w:lang w:eastAsia="en-US"/>
        </w:rPr>
        <w:t>-Syndroms der Schulter (Outlet-</w:t>
      </w:r>
      <w:proofErr w:type="spellStart"/>
      <w:r>
        <w:rPr>
          <w:rFonts w:asciiTheme="majorHAnsi" w:eastAsia="Cambria" w:hAnsiTheme="majorHAnsi" w:cs="Arial"/>
          <w:color w:val="000000"/>
          <w:sz w:val="24"/>
          <w:szCs w:val="24"/>
          <w:lang w:eastAsia="en-US"/>
        </w:rPr>
        <w:t>Impingement</w:t>
      </w:r>
      <w:proofErr w:type="spellEnd"/>
      <w:r>
        <w:rPr>
          <w:rFonts w:asciiTheme="majorHAnsi" w:eastAsia="Cambria" w:hAnsiTheme="majorHAnsi" w:cs="Arial"/>
          <w:color w:val="000000"/>
          <w:sz w:val="24"/>
          <w:szCs w:val="24"/>
          <w:lang w:eastAsia="en-US"/>
        </w:rPr>
        <w:t>)</w:t>
      </w:r>
      <w:r w:rsidRPr="005F1C20">
        <w:rPr>
          <w:rFonts w:asciiTheme="majorHAnsi" w:eastAsia="Cambria" w:hAnsiTheme="majorHAnsi" w:cs="Arial"/>
          <w:color w:val="000000"/>
          <w:sz w:val="24"/>
          <w:szCs w:val="24"/>
          <w:lang w:eastAsia="en-US"/>
        </w:rPr>
        <w:t>, wurden eingeschlossen</w:t>
      </w:r>
      <w:r w:rsidRPr="005F1C20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>.</w:t>
      </w:r>
      <w:r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Die Beschwerden</w:t>
      </w:r>
      <w:r w:rsidRPr="005F1C20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musste</w:t>
      </w:r>
      <w:r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>n seit mindestens</w:t>
      </w:r>
      <w:r w:rsidRPr="005F1C20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6 Wochen</w:t>
      </w:r>
      <w:r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ohne bedeutende Besserung</w:t>
      </w:r>
      <w:r w:rsidRPr="005F1C20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vorhanden sein und</w:t>
      </w:r>
      <w:r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mit einer maximalen Schmerzintensität von mindestens 4 auf einer numerischen Ratingskala (0-10) einhergehen. Nach einem vierwöchigen Kontrollzeitraum folgten 3 individuelle befundorientierte osteopathische Behandlungen, </w:t>
      </w:r>
      <w:r w:rsidRPr="00B362EB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>basierend auf den osteopathischen Prinzipien, in zweiwöchigen Intervallen. Zielparameter waren Schmerzintensität (maximaler und durchschnittlicher Schmerz), erfasst über numerische Ratingskalen (NRS), Schmerzhäufigkeit (</w:t>
      </w:r>
      <w:proofErr w:type="spellStart"/>
      <w:r w:rsidRPr="00B362EB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>Likert</w:t>
      </w:r>
      <w:proofErr w:type="spellEnd"/>
      <w:r w:rsidRPr="00B362EB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>-Skala) sowie Funktionalität und Aktivitäten des täglichen Lebens („</w:t>
      </w:r>
      <w:proofErr w:type="spellStart"/>
      <w:r w:rsidRPr="00B362EB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>Disabilities</w:t>
      </w:r>
      <w:proofErr w:type="spellEnd"/>
      <w:r w:rsidRPr="00B362EB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B362EB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>of</w:t>
      </w:r>
      <w:proofErr w:type="spellEnd"/>
      <w:r w:rsidRPr="00B362EB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B362EB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>the</w:t>
      </w:r>
      <w:proofErr w:type="spellEnd"/>
      <w:r w:rsidRPr="00B362EB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Arm, </w:t>
      </w:r>
      <w:proofErr w:type="spellStart"/>
      <w:r w:rsidRPr="00B362EB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>Sho</w:t>
      </w:r>
      <w:r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>ulder</w:t>
      </w:r>
      <w:proofErr w:type="spellEnd"/>
      <w:r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>and</w:t>
      </w:r>
      <w:proofErr w:type="spellEnd"/>
      <w:r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Hand </w:t>
      </w:r>
      <w:proofErr w:type="spellStart"/>
      <w:r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>Questionnaire</w:t>
      </w:r>
      <w:proofErr w:type="spellEnd"/>
      <w:r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”, </w:t>
      </w:r>
      <w:r w:rsidRPr="00B362EB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>DASH)</w:t>
      </w:r>
      <w:r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. </w:t>
      </w:r>
      <w:r w:rsidRPr="00B362EB">
        <w:rPr>
          <w:rFonts w:asciiTheme="majorHAnsi" w:eastAsia="Cambria" w:hAnsiTheme="majorHAnsi" w:cs="Arial"/>
          <w:bCs/>
          <w:color w:val="000000"/>
          <w:sz w:val="24"/>
          <w:szCs w:val="24"/>
          <w:lang w:eastAsia="en-US"/>
        </w:rPr>
        <w:t xml:space="preserve">  </w:t>
      </w:r>
    </w:p>
    <w:p w14:paraId="50835021" w14:textId="77777777" w:rsidR="00A6160E" w:rsidRDefault="00A6160E" w:rsidP="00A6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58A5D0E3" w14:textId="77777777" w:rsidR="00A6160E" w:rsidRDefault="00A6160E" w:rsidP="00A6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color w:val="000000"/>
          <w:sz w:val="24"/>
          <w:szCs w:val="21"/>
          <w:lang w:eastAsia="en-US"/>
        </w:rPr>
        <w:t>Ergebnisse: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Die maximale und die durchschnittliche Schmerzintensität (NRS) verbesserten sich im Vergleich der beiden Studienphasen zugunsten des Behandlungszeitraums statistisch signifikant (maximaler Schmerz: Differenz der Medianwerte -1,5; p=0,002; durchschnittlicher Schmerz: Differenz der Medianwerte -2; p=0,001). Die Verbesserung des maximalen Schmerzes während der Interventionsphase lag bei 26% und des durchschnittlichen Schmerzes bei 32%. Die Häufigkeit des Auftretens der Schmerzen verringerte sich. Funktionalität und tägliche Aktivitäten (DASH) verbesserten sich ebenfalls während des Behandlungszeitraums statistisch signifikant (DASH-Gesamtscore: Differenz der Mittelwerte -11,7; 95% CI: -19 bis -4,4; p=0,003), dabei lagen auch für die optionalen Module des Fragebogens (Sport/Musik bzw. Arbeit) statistisch signifikante Differenzen zugunsten der osteopathischen Behandlungsphase vor. Die häufigsten osteopathischen Dysfunktionen wurden im </w:t>
      </w:r>
      <w:proofErr w:type="spellStart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glenohumeralen</w:t>
      </w:r>
      <w:proofErr w:type="spellEnd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Komplex sowie in der HWS und im Bereich der Organe und faszialen Verbindungen der viszeralen </w:t>
      </w:r>
      <w:proofErr w:type="spellStart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Halsloge</w:t>
      </w:r>
      <w:proofErr w:type="spellEnd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diagnostiziert. </w:t>
      </w:r>
    </w:p>
    <w:p w14:paraId="6C4B7891" w14:textId="77777777" w:rsidR="00A6160E" w:rsidRDefault="00A6160E" w:rsidP="00A61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265D464B" w14:textId="77777777" w:rsidR="00407193" w:rsidRDefault="00A6160E" w:rsidP="00A6160E">
      <w:r w:rsidRPr="00FA38FE">
        <w:rPr>
          <w:rFonts w:ascii="Calibri" w:eastAsia="Cambria" w:hAnsi="Calibri" w:cs="Arial"/>
          <w:b/>
          <w:color w:val="000000"/>
          <w:sz w:val="24"/>
          <w:szCs w:val="21"/>
          <w:lang w:eastAsia="en-US"/>
        </w:rPr>
        <w:t>Schlussfolgerung: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Drei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osteopathische Behandlungen über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einen Zeitraum von sechs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Wochen führten zu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statistisch signifikanten Verbesserungen der Schmerzen und Funktionalität bei Patienten mit externem </w:t>
      </w:r>
      <w:proofErr w:type="spellStart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Impingement</w:t>
      </w:r>
      <w:proofErr w:type="spellEnd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-Syndrom der Schulter. Weitere Studien, insbesondere mit größeren Fallzahlen und in randomisierten kontrollierten Designs sind wünschenswert.</w:t>
      </w:r>
    </w:p>
    <w:sectPr w:rsidR="00407193" w:rsidSect="005656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antGard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B4FDE"/>
    <w:multiLevelType w:val="multilevel"/>
    <w:tmpl w:val="74D0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BBA1BB1"/>
    <w:multiLevelType w:val="multilevel"/>
    <w:tmpl w:val="3050CC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2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DC07583"/>
    <w:multiLevelType w:val="multilevel"/>
    <w:tmpl w:val="BF964F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0E"/>
    <w:rsid w:val="003E26D4"/>
    <w:rsid w:val="00407193"/>
    <w:rsid w:val="005656C8"/>
    <w:rsid w:val="00926FE1"/>
    <w:rsid w:val="00957C69"/>
    <w:rsid w:val="00A6160E"/>
    <w:rsid w:val="00C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F29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6160E"/>
    <w:rPr>
      <w:rFonts w:ascii="AvantGarde Md BT" w:eastAsia="Times New Roman" w:hAnsi="AvantGarde Md BT" w:cs="Times New Roman"/>
      <w:sz w:val="22"/>
      <w:szCs w:val="22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76F32"/>
    <w:pPr>
      <w:keepNext/>
      <w:keepLines/>
      <w:numPr>
        <w:ilvl w:val="2"/>
        <w:numId w:val="3"/>
      </w:numPr>
      <w:tabs>
        <w:tab w:val="left" w:pos="426"/>
      </w:tabs>
      <w:suppressAutoHyphens/>
      <w:ind w:left="720" w:hanging="295"/>
      <w:outlineLvl w:val="2"/>
    </w:pPr>
    <w:rPr>
      <w:rFonts w:ascii="Verdana" w:eastAsiaTheme="majorEastAsia" w:hAnsi="Verdana" w:cstheme="majorBidi"/>
      <w:b/>
      <w:color w:val="1F3763" w:themeColor="accent1" w:themeShade="7F"/>
      <w:sz w:val="20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E26D4"/>
    <w:pPr>
      <w:tabs>
        <w:tab w:val="left" w:pos="1200"/>
        <w:tab w:val="right" w:leader="dot" w:pos="9621"/>
      </w:tabs>
      <w:suppressAutoHyphens/>
      <w:ind w:left="240"/>
    </w:pPr>
    <w:rPr>
      <w:rFonts w:ascii="Verdana" w:hAnsi="Verdana"/>
      <w:iCs/>
      <w:noProof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6F32"/>
    <w:rPr>
      <w:rFonts w:ascii="Verdana" w:eastAsiaTheme="majorEastAsia" w:hAnsi="Verdana" w:cstheme="majorBidi"/>
      <w:b/>
      <w:color w:val="1F3763" w:themeColor="accent1" w:themeShade="7F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2531</Characters>
  <Application>Microsoft Macintosh Word</Application>
  <DocSecurity>0</DocSecurity>
  <Lines>93</Lines>
  <Paragraphs>51</Paragraphs>
  <ScaleCrop>false</ScaleCrop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Schwerla</dc:creator>
  <cp:keywords/>
  <dc:description/>
  <cp:lastModifiedBy>Florian Schwerla</cp:lastModifiedBy>
  <cp:revision>1</cp:revision>
  <dcterms:created xsi:type="dcterms:W3CDTF">2017-10-03T16:23:00Z</dcterms:created>
  <dcterms:modified xsi:type="dcterms:W3CDTF">2017-10-03T16:24:00Z</dcterms:modified>
</cp:coreProperties>
</file>